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1C9A9" w14:textId="7606D0A2" w:rsidR="00B02EB4" w:rsidRPr="00B02EB4" w:rsidRDefault="00B02EB4" w:rsidP="00B02EB4">
      <w:pPr>
        <w:pBdr>
          <w:top w:val="single" w:sz="36" w:space="1" w:color="auto"/>
          <w:left w:val="single" w:sz="36" w:space="4" w:color="auto"/>
          <w:bottom w:val="single" w:sz="36" w:space="1" w:color="auto"/>
          <w:right w:val="single" w:sz="36" w:space="4" w:color="auto"/>
        </w:pBdr>
        <w:jc w:val="center"/>
        <w:rPr>
          <w:b/>
          <w:bCs/>
          <w:sz w:val="72"/>
          <w:szCs w:val="72"/>
        </w:rPr>
      </w:pPr>
      <w:r w:rsidRPr="00B02EB4">
        <w:rPr>
          <w:b/>
          <w:bCs/>
          <w:noProof/>
          <w:sz w:val="72"/>
          <w:szCs w:val="72"/>
        </w:rPr>
        <w:drawing>
          <wp:anchor distT="0" distB="0" distL="114300" distR="114300" simplePos="0" relativeHeight="251658240" behindDoc="0" locked="0" layoutInCell="1" allowOverlap="1" wp14:anchorId="25AD9A7D" wp14:editId="38AB2094">
            <wp:simplePos x="0" y="0"/>
            <wp:positionH relativeFrom="margin">
              <wp:align>right</wp:align>
            </wp:positionH>
            <wp:positionV relativeFrom="paragraph">
              <wp:posOffset>76200</wp:posOffset>
            </wp:positionV>
            <wp:extent cx="1162050" cy="1162050"/>
            <wp:effectExtent l="0" t="0" r="0" b="0"/>
            <wp:wrapNone/>
            <wp:docPr id="125868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2EB4">
        <w:rPr>
          <w:b/>
          <w:bCs/>
          <w:sz w:val="72"/>
          <w:szCs w:val="72"/>
        </w:rPr>
        <w:t>Malware Analysis</w:t>
      </w:r>
    </w:p>
    <w:p w14:paraId="62F5428C" w14:textId="765CA3A9" w:rsidR="00B02EB4" w:rsidRPr="00B02EB4" w:rsidRDefault="00B02EB4" w:rsidP="00B02EB4">
      <w:pPr>
        <w:pBdr>
          <w:top w:val="single" w:sz="36" w:space="1" w:color="auto"/>
          <w:left w:val="single" w:sz="36" w:space="4" w:color="auto"/>
          <w:bottom w:val="single" w:sz="36" w:space="1" w:color="auto"/>
          <w:right w:val="single" w:sz="36" w:space="4" w:color="auto"/>
        </w:pBdr>
        <w:jc w:val="center"/>
        <w:rPr>
          <w:b/>
          <w:bCs/>
          <w:sz w:val="72"/>
          <w:szCs w:val="72"/>
        </w:rPr>
      </w:pPr>
      <w:r w:rsidRPr="00B02EB4">
        <w:rPr>
          <w:b/>
          <w:bCs/>
          <w:sz w:val="72"/>
          <w:szCs w:val="72"/>
        </w:rPr>
        <w:t>Report</w:t>
      </w:r>
    </w:p>
    <w:p w14:paraId="37D2E8EF" w14:textId="03795264" w:rsidR="00E46671" w:rsidRDefault="00E46671" w:rsidP="00B02EB4">
      <w:pPr>
        <w:rPr>
          <w:sz w:val="24"/>
          <w:szCs w:val="24"/>
        </w:rPr>
      </w:pPr>
    </w:p>
    <w:p w14:paraId="073105D8" w14:textId="074312BD" w:rsidR="0094529F" w:rsidRDefault="0094529F" w:rsidP="0094529F">
      <w:pPr>
        <w:jc w:val="center"/>
        <w:rPr>
          <w:sz w:val="24"/>
          <w:szCs w:val="24"/>
        </w:rPr>
      </w:pPr>
      <w:r>
        <w:rPr>
          <w:sz w:val="24"/>
          <w:szCs w:val="24"/>
        </w:rPr>
        <w:t>Keegan Heaton</w:t>
      </w:r>
    </w:p>
    <w:p w14:paraId="381AC601" w14:textId="2340D1F5" w:rsidR="0094529F" w:rsidRDefault="0094529F" w:rsidP="0094529F">
      <w:pPr>
        <w:jc w:val="center"/>
        <w:rPr>
          <w:sz w:val="24"/>
          <w:szCs w:val="24"/>
        </w:rPr>
      </w:pPr>
      <w:r>
        <w:rPr>
          <w:sz w:val="24"/>
          <w:szCs w:val="24"/>
        </w:rPr>
        <w:t>University of Advancing Technology</w:t>
      </w:r>
    </w:p>
    <w:p w14:paraId="4B80DE84" w14:textId="6025B16A" w:rsidR="0094529F" w:rsidRDefault="0094529F" w:rsidP="0094529F">
      <w:pPr>
        <w:jc w:val="center"/>
        <w:rPr>
          <w:sz w:val="24"/>
          <w:szCs w:val="24"/>
        </w:rPr>
      </w:pPr>
      <w:r>
        <w:rPr>
          <w:sz w:val="24"/>
          <w:szCs w:val="24"/>
        </w:rPr>
        <w:t>CFR – 101 Computer Forensic Essentials</w:t>
      </w:r>
    </w:p>
    <w:p w14:paraId="1B77AD52" w14:textId="3EBC547C" w:rsidR="0094529F" w:rsidRDefault="0094529F" w:rsidP="0094529F">
      <w:pPr>
        <w:jc w:val="center"/>
        <w:rPr>
          <w:sz w:val="24"/>
          <w:szCs w:val="24"/>
        </w:rPr>
      </w:pPr>
      <w:r>
        <w:rPr>
          <w:sz w:val="24"/>
          <w:szCs w:val="24"/>
        </w:rPr>
        <w:t>Aaron Rodriguez</w:t>
      </w:r>
    </w:p>
    <w:p w14:paraId="155A3C76" w14:textId="13D83E9A" w:rsidR="0094529F" w:rsidRDefault="0094529F" w:rsidP="0094529F">
      <w:pPr>
        <w:jc w:val="center"/>
        <w:rPr>
          <w:sz w:val="24"/>
          <w:szCs w:val="24"/>
        </w:rPr>
      </w:pPr>
      <w:r>
        <w:rPr>
          <w:sz w:val="24"/>
          <w:szCs w:val="24"/>
        </w:rPr>
        <w:t>3/31/2024</w:t>
      </w:r>
    </w:p>
    <w:p w14:paraId="5723DD6A" w14:textId="77777777" w:rsidR="00E46671" w:rsidRDefault="00E46671" w:rsidP="00B02EB4">
      <w:pPr>
        <w:rPr>
          <w:sz w:val="24"/>
          <w:szCs w:val="24"/>
        </w:rPr>
      </w:pPr>
    </w:p>
    <w:p w14:paraId="74153B49" w14:textId="77777777" w:rsidR="0094529F" w:rsidRDefault="0094529F" w:rsidP="00B02EB4">
      <w:pPr>
        <w:rPr>
          <w:sz w:val="24"/>
          <w:szCs w:val="24"/>
        </w:rPr>
      </w:pPr>
    </w:p>
    <w:p w14:paraId="72D9B7CA" w14:textId="77777777" w:rsidR="0094529F" w:rsidRDefault="0094529F" w:rsidP="00B02EB4">
      <w:pPr>
        <w:rPr>
          <w:sz w:val="24"/>
          <w:szCs w:val="24"/>
        </w:rPr>
      </w:pPr>
    </w:p>
    <w:p w14:paraId="4232458C" w14:textId="77777777" w:rsidR="0094529F" w:rsidRDefault="0094529F" w:rsidP="00B02EB4">
      <w:pPr>
        <w:rPr>
          <w:sz w:val="24"/>
          <w:szCs w:val="24"/>
        </w:rPr>
      </w:pPr>
    </w:p>
    <w:p w14:paraId="53F1FC9B" w14:textId="77777777" w:rsidR="0094529F" w:rsidRDefault="0094529F" w:rsidP="00B02EB4">
      <w:pPr>
        <w:rPr>
          <w:sz w:val="24"/>
          <w:szCs w:val="24"/>
        </w:rPr>
      </w:pPr>
    </w:p>
    <w:p w14:paraId="682D6C95" w14:textId="77777777" w:rsidR="0094529F" w:rsidRDefault="0094529F" w:rsidP="00B02EB4">
      <w:pPr>
        <w:rPr>
          <w:sz w:val="24"/>
          <w:szCs w:val="24"/>
        </w:rPr>
      </w:pPr>
    </w:p>
    <w:p w14:paraId="1DA7803C" w14:textId="77777777" w:rsidR="0094529F" w:rsidRDefault="0094529F" w:rsidP="00B02EB4">
      <w:pPr>
        <w:rPr>
          <w:sz w:val="24"/>
          <w:szCs w:val="24"/>
        </w:rPr>
      </w:pPr>
    </w:p>
    <w:p w14:paraId="1E7862A0" w14:textId="77777777" w:rsidR="0094529F" w:rsidRDefault="0094529F" w:rsidP="00B02EB4">
      <w:pPr>
        <w:rPr>
          <w:sz w:val="24"/>
          <w:szCs w:val="24"/>
        </w:rPr>
      </w:pPr>
    </w:p>
    <w:p w14:paraId="58C399E9" w14:textId="77777777" w:rsidR="0094529F" w:rsidRDefault="0094529F" w:rsidP="00B02EB4">
      <w:pPr>
        <w:rPr>
          <w:sz w:val="24"/>
          <w:szCs w:val="24"/>
        </w:rPr>
      </w:pPr>
    </w:p>
    <w:p w14:paraId="56417761" w14:textId="77777777" w:rsidR="0094529F" w:rsidRDefault="0094529F" w:rsidP="00B02EB4">
      <w:pPr>
        <w:rPr>
          <w:sz w:val="24"/>
          <w:szCs w:val="24"/>
        </w:rPr>
      </w:pPr>
    </w:p>
    <w:p w14:paraId="5AD3E400" w14:textId="77777777" w:rsidR="0094529F" w:rsidRDefault="0094529F" w:rsidP="00B02EB4">
      <w:pPr>
        <w:rPr>
          <w:sz w:val="24"/>
          <w:szCs w:val="24"/>
        </w:rPr>
      </w:pPr>
    </w:p>
    <w:p w14:paraId="31D14D83" w14:textId="77777777" w:rsidR="0094529F" w:rsidRDefault="0094529F" w:rsidP="00B02EB4">
      <w:pPr>
        <w:rPr>
          <w:sz w:val="24"/>
          <w:szCs w:val="24"/>
        </w:rPr>
      </w:pPr>
    </w:p>
    <w:p w14:paraId="5DCD97F8" w14:textId="77777777" w:rsidR="0094529F" w:rsidRDefault="0094529F" w:rsidP="00B02EB4">
      <w:pPr>
        <w:rPr>
          <w:sz w:val="24"/>
          <w:szCs w:val="24"/>
        </w:rPr>
      </w:pPr>
    </w:p>
    <w:p w14:paraId="022717D1" w14:textId="77777777" w:rsidR="0094529F" w:rsidRDefault="0094529F" w:rsidP="00B02EB4">
      <w:pPr>
        <w:rPr>
          <w:sz w:val="24"/>
          <w:szCs w:val="24"/>
        </w:rPr>
      </w:pPr>
    </w:p>
    <w:p w14:paraId="3944B86E" w14:textId="77777777" w:rsidR="0094529F" w:rsidRDefault="0094529F" w:rsidP="00B02EB4">
      <w:pPr>
        <w:rPr>
          <w:sz w:val="24"/>
          <w:szCs w:val="24"/>
        </w:rPr>
      </w:pPr>
    </w:p>
    <w:p w14:paraId="46BD0B7E" w14:textId="77777777" w:rsidR="0094529F" w:rsidRPr="00B02EB4" w:rsidRDefault="0094529F" w:rsidP="00B02EB4">
      <w:pPr>
        <w:rPr>
          <w:sz w:val="24"/>
          <w:szCs w:val="24"/>
        </w:rPr>
      </w:pPr>
    </w:p>
    <w:p w14:paraId="1BA4490C" w14:textId="4A822C81"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lastRenderedPageBreak/>
        <w:t>1. Executive Summary</w:t>
      </w:r>
    </w:p>
    <w:p w14:paraId="284147EA" w14:textId="15D58FF8" w:rsidR="00445639" w:rsidRPr="00B02EB4" w:rsidRDefault="007C36EF" w:rsidP="00445639">
      <w:r>
        <w:t xml:space="preserve">Mimikatz is spyware that looks to increase authority on a </w:t>
      </w:r>
      <w:r w:rsidR="00F6336F">
        <w:t>compromised system</w:t>
      </w:r>
      <w:r>
        <w:t xml:space="preserve"> and collect data linked to passwords, hashes, and tickets. On the VM, there are </w:t>
      </w:r>
      <w:r w:rsidR="00F6336F">
        <w:t>a few directories</w:t>
      </w:r>
      <w:r>
        <w:t xml:space="preserve"> that </w:t>
      </w:r>
      <w:r w:rsidR="00F6336F">
        <w:t>hide</w:t>
      </w:r>
      <w:r>
        <w:t xml:space="preserve"> mimikatz. One is hidden in the McAfee shortcut, another is hidden in the StarCraft shortcut</w:t>
      </w:r>
      <w:r w:rsidR="00F6336F">
        <w:t>, another is in Downloads, and the last hidden mimikatz is in Windows Mail</w:t>
      </w:r>
      <w:r>
        <w:t>.</w:t>
      </w:r>
    </w:p>
    <w:p w14:paraId="7900B3F6" w14:textId="7EF22F6B"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2. Introduction</w:t>
      </w:r>
    </w:p>
    <w:p w14:paraId="56470E7D" w14:textId="4617DA56" w:rsidR="007C36EF" w:rsidRPr="00B02EB4" w:rsidRDefault="007C36EF" w:rsidP="007C36EF">
      <w:pPr>
        <w:pStyle w:val="ListParagraph"/>
      </w:pPr>
      <w:r>
        <w:t xml:space="preserve">Mimikatz is </w:t>
      </w:r>
      <w:r w:rsidR="00215841">
        <w:t>an</w:t>
      </w:r>
      <w:r>
        <w:t xml:space="preserve"> open-source software tool that can extract sensitive information like passwords, hashes, and Kerberos tickets from the memory of a system. Mimikatz was originally created in 2007 by French researcher Benjamin Delpy to demonstrate problems in the Windows authentication protocols. However, it has since been widely adopted by hackers and incorporated into a variety of malware. The </w:t>
      </w:r>
      <w:r w:rsidR="00215841">
        <w:t xml:space="preserve">purpose of this analysis is to investigate </w:t>
      </w:r>
      <w:r w:rsidR="00F6336F">
        <w:t>the malware</w:t>
      </w:r>
      <w:r w:rsidR="00215841">
        <w:t xml:space="preserve"> and how it operated within the Windows 7 operating system.</w:t>
      </w:r>
    </w:p>
    <w:p w14:paraId="2C6AB9C4" w14:textId="2C1224EB"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3. Malware Overview</w:t>
      </w:r>
    </w:p>
    <w:p w14:paraId="4EFC7D60" w14:textId="76B991A7" w:rsidR="00215841" w:rsidRPr="00B02EB4" w:rsidRDefault="00215841" w:rsidP="00215841">
      <w:pPr>
        <w:pStyle w:val="ListParagraph"/>
      </w:pPr>
      <w:r>
        <w:t>Mimikatz is a spyware application that has an unknown infection vector. The easiest infection vector for Mimikatz is for Malicious actors to directly install the application once they have access to the windows system. Otherwise, it can’t self-install onto systems</w:t>
      </w:r>
      <w:r w:rsidR="00F6336F">
        <w:t xml:space="preserve"> by itself</w:t>
      </w:r>
      <w:r>
        <w:t>.</w:t>
      </w:r>
    </w:p>
    <w:p w14:paraId="24EABBD6" w14:textId="4F1F0763"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4. Technical Analysis</w:t>
      </w:r>
    </w:p>
    <w:p w14:paraId="1BA159C4" w14:textId="0C28A763" w:rsidR="00215841" w:rsidRPr="00B02EB4" w:rsidRDefault="00215841" w:rsidP="00215841">
      <w:r>
        <w:t>In the initial stages, I found the two Mimikatz applications on 2:10 P.M, 03/28/2024. The Command windows for the application started when the shortcuts McAfee and StarCraft were opened. Once opened, Mimikatz 2.2.0 x86 (</w:t>
      </w:r>
      <w:proofErr w:type="spellStart"/>
      <w:proofErr w:type="gramStart"/>
      <w:r>
        <w:t>oe.eo</w:t>
      </w:r>
      <w:proofErr w:type="spellEnd"/>
      <w:proofErr w:type="gramEnd"/>
      <w:r>
        <w:t xml:space="preserve">) started running. </w:t>
      </w:r>
      <w:r w:rsidR="008A2A1C">
        <w:t xml:space="preserve">Using the </w:t>
      </w:r>
      <w:r w:rsidR="00F6336F">
        <w:t>task list</w:t>
      </w:r>
      <w:r w:rsidR="008A2A1C">
        <w:t xml:space="preserve"> command </w:t>
      </w:r>
      <w:r w:rsidR="00F6336F">
        <w:t>in</w:t>
      </w:r>
      <w:r w:rsidR="008A2A1C">
        <w:t xml:space="preserve"> the command line, the current processes being executed will be listed. Inside the list was a mimikatz.exe process. Using the wmic process get &lt;process_name&gt; command, I selected mimikatz.exe specifically to get more information about the process. However, the process ended in an unknown error. This error is due to mimikatz’s analysis countermeasures to ensure that it isn’t detected. Furthermore, mimikatz will hide </w:t>
      </w:r>
      <w:r w:rsidR="008A2A1C" w:rsidRPr="008A2A1C">
        <w:t>its process name</w:t>
      </w:r>
      <w:r w:rsidR="008A2A1C">
        <w:t>s</w:t>
      </w:r>
      <w:r w:rsidR="008A2A1C" w:rsidRPr="008A2A1C">
        <w:t>, avoid registry entries, and bypass logging mechanisms</w:t>
      </w:r>
      <w:r w:rsidR="008A2A1C">
        <w:t>. This means that any attempt to trace mimikatz through window tools is difficult.</w:t>
      </w:r>
    </w:p>
    <w:p w14:paraId="1AA0A1AE" w14:textId="093BE4D0"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5. Indicators of Compromise (IOCs)</w:t>
      </w:r>
    </w:p>
    <w:p w14:paraId="26246637" w14:textId="62252C98" w:rsidR="003267C5" w:rsidRPr="00B02EB4" w:rsidRDefault="003267C5" w:rsidP="003267C5">
      <w:pPr>
        <w:pStyle w:val="ListParagraph"/>
      </w:pPr>
      <w:r>
        <w:t>Indicators of compromise can be found in the Downloads folder. In /theAdmin/Downloads/mimikatz_trunk/ there is a list of file</w:t>
      </w:r>
      <w:r w:rsidR="00F6336F">
        <w:t>s and</w:t>
      </w:r>
      <w:r>
        <w:t xml:space="preserve"> folders. The list </w:t>
      </w:r>
      <w:r w:rsidR="00C92BB1">
        <w:t>includes</w:t>
      </w:r>
      <w:r>
        <w:t xml:space="preserve"> Win32, x64 folders and a kiwi_passwords YAR file, mimicom IDL file, and a README.md MD file. Within the Win32 folder, there are SYS files, DLL files, and </w:t>
      </w:r>
      <w:r w:rsidR="00F6336F">
        <w:t xml:space="preserve">the mimikatz </w:t>
      </w:r>
      <w:r>
        <w:t xml:space="preserve">application. </w:t>
      </w:r>
      <w:r w:rsidR="008A2A1C">
        <w:t>Inside the applications themselves is a list of URLs. The URLs are connected to emails, blogs, and websites.</w:t>
      </w:r>
      <w:r w:rsidR="00C92BB1">
        <w:t xml:space="preserve"> To find MD5 and SHA-1 file hashes, I used the cd C: \Users\theAdmin\Downloads\mimikatz_trunk\x64\ to navigate to the malicious files. Then, I used the certutil -hashfile mimikatz MD5 command and SHA-1 command to collect hashfile </w:t>
      </w:r>
      <w:r w:rsidR="00C92BB1">
        <w:lastRenderedPageBreak/>
        <w:t>data. However, the commands failed to collect hash file data. This may be another counter measure against windows forensics tools.</w:t>
      </w:r>
    </w:p>
    <w:p w14:paraId="6F0F30F7" w14:textId="59C5BAC1"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6. Behavioral Analysis</w:t>
      </w:r>
    </w:p>
    <w:p w14:paraId="3BC61961" w14:textId="55299565" w:rsidR="00A83151" w:rsidRPr="00B02EB4" w:rsidRDefault="00A83151" w:rsidP="00A83151">
      <w:pPr>
        <w:pStyle w:val="ListParagraph"/>
      </w:pPr>
      <w:r>
        <w:t xml:space="preserve">The </w:t>
      </w:r>
      <w:r w:rsidR="00A950FC">
        <w:t>a</w:t>
      </w:r>
      <w:r>
        <w:t xml:space="preserve">pplications, mimikatz and </w:t>
      </w:r>
      <w:proofErr w:type="spellStart"/>
      <w:r>
        <w:t>mimilove</w:t>
      </w:r>
      <w:proofErr w:type="spellEnd"/>
      <w:r>
        <w:t xml:space="preserve">, open </w:t>
      </w:r>
      <w:r w:rsidR="00A950FC">
        <w:t>like a normal application</w:t>
      </w:r>
      <w:r>
        <w:t xml:space="preserve">. Mimikatz starts a tab and has similar features </w:t>
      </w:r>
      <w:r w:rsidR="0056648B">
        <w:t>the StarCraft and McAfee shortcuts</w:t>
      </w:r>
      <w:r>
        <w:t xml:space="preserve">. </w:t>
      </w:r>
      <w:proofErr w:type="spellStart"/>
      <w:r w:rsidR="0056648B">
        <w:t>Mimilove</w:t>
      </w:r>
      <w:proofErr w:type="spellEnd"/>
      <w:r>
        <w:t xml:space="preserve"> opens a tab which immediately shuts down.</w:t>
      </w:r>
      <w:r w:rsidR="0056648B">
        <w:t xml:space="preserve"> There is likely a hidden requirement for this application to run.</w:t>
      </w:r>
      <w:r w:rsidR="003418B0">
        <w:t xml:space="preserve"> I used the regedit.exe to open the registry editor and search for any registry changes but found no significant changes other than another mimikatz.exe item hidden in windows mail</w:t>
      </w:r>
      <w:r w:rsidR="00F408C7">
        <w:t>.</w:t>
      </w:r>
    </w:p>
    <w:p w14:paraId="13B3F96D" w14:textId="67DBCFAE"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7. Mitigation and Recommendations</w:t>
      </w:r>
    </w:p>
    <w:p w14:paraId="770F33CB" w14:textId="4DC18F6B" w:rsidR="00FC35F5" w:rsidRPr="00B02EB4" w:rsidRDefault="00FC35F5" w:rsidP="00FC35F5">
      <w:r>
        <w:t xml:space="preserve">To remove Mimikatz from the compromised system, </w:t>
      </w:r>
      <w:r w:rsidR="00F6336F">
        <w:t>it’s</w:t>
      </w:r>
      <w:r>
        <w:t xml:space="preserve"> important to take a safe approach. Usually, the system would be disconnected from the network and then booted into safe mode. Once Safe mode is engaged, any files mimikatz attached itself to will be easier to remove and replace. Additionally, any programs that would normally interfere with the removal of mimikatz wouldn’t be operating during safe mode.</w:t>
      </w:r>
      <w:r w:rsidR="0056648B">
        <w:t xml:space="preserve"> In my attempt at removing mimikatz, I used the command line. I used the del command to delete the application and relevant files from Windows mail. However, when I tried to use the command on the applications inside the Downloads folder, it failed due to some persistence techniques. However,</w:t>
      </w:r>
      <w:r w:rsidR="00C859DD">
        <w:t xml:space="preserve"> </w:t>
      </w:r>
      <w:r w:rsidR="0056648B">
        <w:t>o</w:t>
      </w:r>
      <w:r w:rsidR="00C859DD">
        <w:t xml:space="preserve">nce Mimikatz is removed it’s important to use End point detection, Antivirus, and 2FA to greatly reduce its impact.  It’s also important to configure the firewall of the compromised system to block connections related to mimikatz. Optimally, software with Api call monitoring, End point detection &amp; response, and </w:t>
      </w:r>
      <w:proofErr w:type="spellStart"/>
      <w:r w:rsidR="00C859DD">
        <w:t>Sysinteral</w:t>
      </w:r>
      <w:proofErr w:type="spellEnd"/>
      <w:r w:rsidR="00C859DD">
        <w:t xml:space="preserve"> monitoring is the best protection against mimikatz.</w:t>
      </w:r>
    </w:p>
    <w:p w14:paraId="322BFA8C" w14:textId="04D1D880"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8. Conclusion</w:t>
      </w:r>
    </w:p>
    <w:p w14:paraId="04813235" w14:textId="0807548D" w:rsidR="00FC35F5" w:rsidRPr="00B02EB4" w:rsidRDefault="00FC35F5" w:rsidP="00FC35F5">
      <w:r>
        <w:t xml:space="preserve">On the compromised Windows 7 system, there were a multitude of malware programs operating at the same time. One of the operating </w:t>
      </w:r>
      <w:r w:rsidR="00821880">
        <w:t>malwares</w:t>
      </w:r>
      <w:r>
        <w:t xml:space="preserve"> is mimikatz. I found Mimikatz </w:t>
      </w:r>
      <w:r w:rsidR="00F6336F">
        <w:t>Ina few</w:t>
      </w:r>
      <w:r>
        <w:t xml:space="preserve"> directories. The directories include </w:t>
      </w:r>
      <w:r w:rsidR="00821880">
        <w:t>mimikatz</w:t>
      </w:r>
      <w:r>
        <w:t xml:space="preserve">_trunk, Windows mail, downloads, and AppData. Each item the directories opened the same application. Furthermore, mimikatz had a few counter measures in place to stop any information from being collected. </w:t>
      </w:r>
      <w:r w:rsidR="00821880">
        <w:t xml:space="preserve">Mimikatz hid its process names, registry entries, logging entries, and hash information to avoid detection.  Due to these counter measures, mimikatz was very difficult to track. </w:t>
      </w:r>
      <w:r w:rsidR="00F6336F">
        <w:t xml:space="preserve">Additionally, </w:t>
      </w:r>
      <w:proofErr w:type="gramStart"/>
      <w:r w:rsidR="00821880">
        <w:t>It</w:t>
      </w:r>
      <w:proofErr w:type="gramEnd"/>
      <w:r w:rsidR="00821880">
        <w:t xml:space="preserve"> was difficult to know how resource intensive mimikatz was, but when the application was running it took </w:t>
      </w:r>
      <w:r w:rsidR="00F6336F">
        <w:t>little to no</w:t>
      </w:r>
      <w:r w:rsidR="00821880">
        <w:t xml:space="preserve"> resources. Overall, mimikatz is a very dangerous piece of spyware as it is difficult to track and monitor without the help of </w:t>
      </w:r>
      <w:r w:rsidR="00183C5F">
        <w:t>third-party</w:t>
      </w:r>
      <w:r w:rsidR="00821880">
        <w:t xml:space="preserve"> tools.</w:t>
      </w:r>
    </w:p>
    <w:p w14:paraId="0C1B37E7" w14:textId="016B5E2D"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9. References</w:t>
      </w:r>
    </w:p>
    <w:p w14:paraId="4BF5DAAC" w14:textId="04DDAE65" w:rsidR="00821880" w:rsidRDefault="00821880" w:rsidP="00821880">
      <w:r>
        <w:t>I primarily used Gemini to get Commands to find hash, directories, process names, process information</w:t>
      </w:r>
      <w:r w:rsidR="00D96DEE">
        <w:t>, and registry changes. I also used Gemini to research potential protection methods and software.</w:t>
      </w:r>
    </w:p>
    <w:p w14:paraId="40CAC48B" w14:textId="5A5DD555" w:rsidR="00D96DEE" w:rsidRDefault="00D96DEE" w:rsidP="00821880">
      <w:r>
        <w:rPr>
          <w:color w:val="000000"/>
        </w:rPr>
        <w:lastRenderedPageBreak/>
        <w:t>Fitzgibbons, L. (2019, January 4). </w:t>
      </w:r>
      <w:r>
        <w:rPr>
          <w:i/>
          <w:iCs/>
          <w:color w:val="000000"/>
        </w:rPr>
        <w:t>What is mimikatz? | Definition from TechTarget</w:t>
      </w:r>
      <w:r>
        <w:rPr>
          <w:color w:val="000000"/>
        </w:rPr>
        <w:t xml:space="preserve">. </w:t>
      </w:r>
      <w:proofErr w:type="spellStart"/>
      <w:r>
        <w:rPr>
          <w:color w:val="000000"/>
        </w:rPr>
        <w:t>WhatIs</w:t>
      </w:r>
      <w:proofErr w:type="spellEnd"/>
      <w:r>
        <w:rPr>
          <w:color w:val="000000"/>
        </w:rPr>
        <w:t>. </w:t>
      </w:r>
      <w:hyperlink r:id="rId7" w:tgtFrame="_blank" w:history="1">
        <w:r>
          <w:rPr>
            <w:rStyle w:val="Hyperlink"/>
            <w:color w:val="000000"/>
          </w:rPr>
          <w:t>https://www.techtarget.com/whatis/definition/mimikatz</w:t>
        </w:r>
      </w:hyperlink>
    </w:p>
    <w:p w14:paraId="5C38D7B0" w14:textId="35E13017" w:rsidR="00821880" w:rsidRDefault="00F6336F" w:rsidP="00821880">
      <w:r w:rsidRPr="00F6336F">
        <w:t>Gemini. (2023, March 31). </w:t>
      </w:r>
      <w:r w:rsidRPr="00F6336F">
        <w:rPr>
          <w:i/>
          <w:iCs/>
        </w:rPr>
        <w:t>Before you continue</w:t>
      </w:r>
      <w:r w:rsidRPr="00F6336F">
        <w:t>. Before you continue. </w:t>
      </w:r>
      <w:hyperlink r:id="rId8" w:tgtFrame="_blank" w:history="1">
        <w:r w:rsidRPr="00F6336F">
          <w:rPr>
            <w:rStyle w:val="Hyperlink"/>
          </w:rPr>
          <w:t>https://gemini.google.com/app/ec8af4fd01f39a1f</w:t>
        </w:r>
      </w:hyperlink>
    </w:p>
    <w:p w14:paraId="31394824" w14:textId="2D9A43A3" w:rsidR="00D96DEE" w:rsidRDefault="00D96DEE" w:rsidP="00821880">
      <w:r w:rsidRPr="00D96DEE">
        <w:t>Gillis, A. S., Brush, K., &amp; Teravainen, T. (2021, July 13). </w:t>
      </w:r>
      <w:r w:rsidRPr="00D96DEE">
        <w:rPr>
          <w:i/>
          <w:iCs/>
        </w:rPr>
        <w:t>What is Spyware?</w:t>
      </w:r>
      <w:r w:rsidRPr="00D96DEE">
        <w:t> Security. </w:t>
      </w:r>
      <w:hyperlink r:id="rId9" w:tgtFrame="_blank" w:history="1">
        <w:r w:rsidRPr="00D96DEE">
          <w:rPr>
            <w:rStyle w:val="Hyperlink"/>
          </w:rPr>
          <w:t>https://www.techtarget.com/searchsecurity/definition/spyware</w:t>
        </w:r>
      </w:hyperlink>
    </w:p>
    <w:p w14:paraId="32522576" w14:textId="77777777" w:rsidR="00D96DEE" w:rsidRPr="00B02EB4" w:rsidRDefault="00D96DEE" w:rsidP="00821880"/>
    <w:p w14:paraId="22711A32" w14:textId="0F089641" w:rsidR="00B02EB4" w:rsidRPr="00B02EB4" w:rsidRDefault="00B02EB4" w:rsidP="00E46671">
      <w:pPr>
        <w:pBdr>
          <w:top w:val="single" w:sz="36" w:space="1" w:color="auto"/>
          <w:left w:val="single" w:sz="36" w:space="4" w:color="auto"/>
          <w:bottom w:val="single" w:sz="36" w:space="1" w:color="auto"/>
          <w:right w:val="single" w:sz="36" w:space="4" w:color="auto"/>
        </w:pBdr>
      </w:pPr>
      <w:r w:rsidRPr="00B02EB4">
        <w:t>10. Appendix (Optional)</w:t>
      </w:r>
    </w:p>
    <w:p w14:paraId="062D71F0" w14:textId="77777777" w:rsidR="00255723" w:rsidRPr="00B02EB4" w:rsidRDefault="00255723" w:rsidP="00B02EB4"/>
    <w:sectPr w:rsidR="00255723" w:rsidRPr="00B0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05EF"/>
    <w:multiLevelType w:val="hybridMultilevel"/>
    <w:tmpl w:val="B084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12EE8"/>
    <w:multiLevelType w:val="multilevel"/>
    <w:tmpl w:val="7E7C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33C91"/>
    <w:multiLevelType w:val="multilevel"/>
    <w:tmpl w:val="A8E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E5FCC"/>
    <w:multiLevelType w:val="hybridMultilevel"/>
    <w:tmpl w:val="99D8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E2B59"/>
    <w:multiLevelType w:val="hybridMultilevel"/>
    <w:tmpl w:val="7986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76BC8"/>
    <w:multiLevelType w:val="hybridMultilevel"/>
    <w:tmpl w:val="3D24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563B0"/>
    <w:multiLevelType w:val="multilevel"/>
    <w:tmpl w:val="5678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F74C40"/>
    <w:multiLevelType w:val="multilevel"/>
    <w:tmpl w:val="076C3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A5665B"/>
    <w:multiLevelType w:val="hybridMultilevel"/>
    <w:tmpl w:val="F604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C390E"/>
    <w:multiLevelType w:val="hybridMultilevel"/>
    <w:tmpl w:val="23EE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93FC0"/>
    <w:multiLevelType w:val="hybridMultilevel"/>
    <w:tmpl w:val="FA00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F07BA"/>
    <w:multiLevelType w:val="multilevel"/>
    <w:tmpl w:val="5A4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B33966"/>
    <w:multiLevelType w:val="multilevel"/>
    <w:tmpl w:val="7BC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3A299C"/>
    <w:multiLevelType w:val="hybridMultilevel"/>
    <w:tmpl w:val="F0B2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8761D"/>
    <w:multiLevelType w:val="hybridMultilevel"/>
    <w:tmpl w:val="11D8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E5816"/>
    <w:multiLevelType w:val="multilevel"/>
    <w:tmpl w:val="15DC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E87026"/>
    <w:multiLevelType w:val="hybridMultilevel"/>
    <w:tmpl w:val="70B6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303FB"/>
    <w:multiLevelType w:val="multilevel"/>
    <w:tmpl w:val="D0028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DC4157"/>
    <w:multiLevelType w:val="multilevel"/>
    <w:tmpl w:val="D382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A08DB"/>
    <w:multiLevelType w:val="multilevel"/>
    <w:tmpl w:val="BABC2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3507600">
    <w:abstractNumId w:val="11"/>
  </w:num>
  <w:num w:numId="2" w16cid:durableId="451093744">
    <w:abstractNumId w:val="6"/>
  </w:num>
  <w:num w:numId="3" w16cid:durableId="973875630">
    <w:abstractNumId w:val="12"/>
  </w:num>
  <w:num w:numId="4" w16cid:durableId="667249177">
    <w:abstractNumId w:val="7"/>
  </w:num>
  <w:num w:numId="5" w16cid:durableId="2057579595">
    <w:abstractNumId w:val="1"/>
  </w:num>
  <w:num w:numId="6" w16cid:durableId="1144079307">
    <w:abstractNumId w:val="17"/>
  </w:num>
  <w:num w:numId="7" w16cid:durableId="498232232">
    <w:abstractNumId w:val="19"/>
  </w:num>
  <w:num w:numId="8" w16cid:durableId="1364817687">
    <w:abstractNumId w:val="15"/>
  </w:num>
  <w:num w:numId="9" w16cid:durableId="1326586861">
    <w:abstractNumId w:val="18"/>
  </w:num>
  <w:num w:numId="10" w16cid:durableId="1259680767">
    <w:abstractNumId w:val="2"/>
  </w:num>
  <w:num w:numId="11" w16cid:durableId="1718814201">
    <w:abstractNumId w:val="16"/>
  </w:num>
  <w:num w:numId="12" w16cid:durableId="1933391498">
    <w:abstractNumId w:val="0"/>
  </w:num>
  <w:num w:numId="13" w16cid:durableId="572275539">
    <w:abstractNumId w:val="4"/>
  </w:num>
  <w:num w:numId="14" w16cid:durableId="810367848">
    <w:abstractNumId w:val="13"/>
  </w:num>
  <w:num w:numId="15" w16cid:durableId="556279707">
    <w:abstractNumId w:val="9"/>
  </w:num>
  <w:num w:numId="16" w16cid:durableId="695346926">
    <w:abstractNumId w:val="8"/>
  </w:num>
  <w:num w:numId="17" w16cid:durableId="868487489">
    <w:abstractNumId w:val="3"/>
  </w:num>
  <w:num w:numId="18" w16cid:durableId="760414825">
    <w:abstractNumId w:val="5"/>
  </w:num>
  <w:num w:numId="19" w16cid:durableId="257911849">
    <w:abstractNumId w:val="10"/>
  </w:num>
  <w:num w:numId="20" w16cid:durableId="914556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B4"/>
    <w:rsid w:val="00142FB8"/>
    <w:rsid w:val="00183C5F"/>
    <w:rsid w:val="00194816"/>
    <w:rsid w:val="00215841"/>
    <w:rsid w:val="00255723"/>
    <w:rsid w:val="002D0C10"/>
    <w:rsid w:val="003267C5"/>
    <w:rsid w:val="003418B0"/>
    <w:rsid w:val="00445639"/>
    <w:rsid w:val="0056648B"/>
    <w:rsid w:val="007C36EF"/>
    <w:rsid w:val="00821880"/>
    <w:rsid w:val="008A2A1C"/>
    <w:rsid w:val="0094529F"/>
    <w:rsid w:val="009E2D19"/>
    <w:rsid w:val="00A83151"/>
    <w:rsid w:val="00A950FC"/>
    <w:rsid w:val="00AE19A5"/>
    <w:rsid w:val="00B02EB4"/>
    <w:rsid w:val="00C859DD"/>
    <w:rsid w:val="00C92BB1"/>
    <w:rsid w:val="00D96DEE"/>
    <w:rsid w:val="00E46671"/>
    <w:rsid w:val="00F2747A"/>
    <w:rsid w:val="00F408C7"/>
    <w:rsid w:val="00F6336F"/>
    <w:rsid w:val="00FC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03EB9"/>
  <w15:chartTrackingRefBased/>
  <w15:docId w15:val="{52F49562-8F19-46C7-BB1D-4F5A7EF6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E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E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E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E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E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EB4"/>
    <w:rPr>
      <w:rFonts w:eastAsiaTheme="majorEastAsia" w:cstheme="majorBidi"/>
      <w:color w:val="272727" w:themeColor="text1" w:themeTint="D8"/>
    </w:rPr>
  </w:style>
  <w:style w:type="paragraph" w:styleId="Title">
    <w:name w:val="Title"/>
    <w:basedOn w:val="Normal"/>
    <w:next w:val="Normal"/>
    <w:link w:val="TitleChar"/>
    <w:uiPriority w:val="10"/>
    <w:qFormat/>
    <w:rsid w:val="00B02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E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EB4"/>
    <w:pPr>
      <w:spacing w:before="160"/>
      <w:jc w:val="center"/>
    </w:pPr>
    <w:rPr>
      <w:i/>
      <w:iCs/>
      <w:color w:val="404040" w:themeColor="text1" w:themeTint="BF"/>
    </w:rPr>
  </w:style>
  <w:style w:type="character" w:customStyle="1" w:styleId="QuoteChar">
    <w:name w:val="Quote Char"/>
    <w:basedOn w:val="DefaultParagraphFont"/>
    <w:link w:val="Quote"/>
    <w:uiPriority w:val="29"/>
    <w:rsid w:val="00B02EB4"/>
    <w:rPr>
      <w:i/>
      <w:iCs/>
      <w:color w:val="404040" w:themeColor="text1" w:themeTint="BF"/>
    </w:rPr>
  </w:style>
  <w:style w:type="paragraph" w:styleId="ListParagraph">
    <w:name w:val="List Paragraph"/>
    <w:basedOn w:val="Normal"/>
    <w:uiPriority w:val="34"/>
    <w:qFormat/>
    <w:rsid w:val="00B02EB4"/>
    <w:pPr>
      <w:ind w:left="720"/>
      <w:contextualSpacing/>
    </w:pPr>
  </w:style>
  <w:style w:type="character" w:styleId="IntenseEmphasis">
    <w:name w:val="Intense Emphasis"/>
    <w:basedOn w:val="DefaultParagraphFont"/>
    <w:uiPriority w:val="21"/>
    <w:qFormat/>
    <w:rsid w:val="00B02EB4"/>
    <w:rPr>
      <w:i/>
      <w:iCs/>
      <w:color w:val="0F4761" w:themeColor="accent1" w:themeShade="BF"/>
    </w:rPr>
  </w:style>
  <w:style w:type="paragraph" w:styleId="IntenseQuote">
    <w:name w:val="Intense Quote"/>
    <w:basedOn w:val="Normal"/>
    <w:next w:val="Normal"/>
    <w:link w:val="IntenseQuoteChar"/>
    <w:uiPriority w:val="30"/>
    <w:qFormat/>
    <w:rsid w:val="00B02E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EB4"/>
    <w:rPr>
      <w:i/>
      <w:iCs/>
      <w:color w:val="0F4761" w:themeColor="accent1" w:themeShade="BF"/>
    </w:rPr>
  </w:style>
  <w:style w:type="character" w:styleId="IntenseReference">
    <w:name w:val="Intense Reference"/>
    <w:basedOn w:val="DefaultParagraphFont"/>
    <w:uiPriority w:val="32"/>
    <w:qFormat/>
    <w:rsid w:val="00B02EB4"/>
    <w:rPr>
      <w:b/>
      <w:bCs/>
      <w:smallCaps/>
      <w:color w:val="0F4761" w:themeColor="accent1" w:themeShade="BF"/>
      <w:spacing w:val="5"/>
    </w:rPr>
  </w:style>
  <w:style w:type="paragraph" w:styleId="NormalWeb">
    <w:name w:val="Normal (Web)"/>
    <w:basedOn w:val="Normal"/>
    <w:uiPriority w:val="99"/>
    <w:semiHidden/>
    <w:unhideWhenUsed/>
    <w:rsid w:val="00B02E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02EB4"/>
    <w:rPr>
      <w:b/>
      <w:bCs/>
    </w:rPr>
  </w:style>
  <w:style w:type="character" w:styleId="Hyperlink">
    <w:name w:val="Hyperlink"/>
    <w:basedOn w:val="DefaultParagraphFont"/>
    <w:uiPriority w:val="99"/>
    <w:unhideWhenUsed/>
    <w:rsid w:val="00F6336F"/>
    <w:rPr>
      <w:color w:val="467886" w:themeColor="hyperlink"/>
      <w:u w:val="single"/>
    </w:rPr>
  </w:style>
  <w:style w:type="character" w:styleId="UnresolvedMention">
    <w:name w:val="Unresolved Mention"/>
    <w:basedOn w:val="DefaultParagraphFont"/>
    <w:uiPriority w:val="99"/>
    <w:semiHidden/>
    <w:unhideWhenUsed/>
    <w:rsid w:val="00F6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2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ini.google.com/app/ec8af4fd01f39a1f" TargetMode="External"/><Relationship Id="rId3" Type="http://schemas.openxmlformats.org/officeDocument/2006/relationships/styles" Target="styles.xml"/><Relationship Id="rId7" Type="http://schemas.openxmlformats.org/officeDocument/2006/relationships/hyperlink" Target="https://www.techtarget.com/whatis/definition/mimikat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echtarget.com/searchsecurity/definition/spy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B440-A43F-40F3-9D34-6363B4C0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KEEGAN HEATON</cp:lastModifiedBy>
  <cp:revision>9</cp:revision>
  <dcterms:created xsi:type="dcterms:W3CDTF">2024-03-26T19:15:00Z</dcterms:created>
  <dcterms:modified xsi:type="dcterms:W3CDTF">2024-03-31T23:03:00Z</dcterms:modified>
</cp:coreProperties>
</file>